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EA231E" w:rsidRDefault="00EA231E" w:rsidP="00EA231E">
      <w:pPr>
        <w:jc w:val="center"/>
        <w:rPr>
          <w:b/>
          <w:color w:val="000000"/>
          <w:lang w:eastAsia="lt-LT"/>
        </w:rPr>
      </w:pPr>
      <w:r>
        <w:rPr>
          <w:b/>
          <w:color w:val="000000"/>
          <w:lang w:eastAsia="lt-LT"/>
        </w:rPr>
        <w:t>KLAIPĖDOS LOPŠELIO-DARŽELIO „ŽILVITIS“</w:t>
      </w:r>
    </w:p>
    <w:p w:rsidR="00EA231E" w:rsidRDefault="00EA231E" w:rsidP="00EA231E">
      <w:pPr>
        <w:jc w:val="center"/>
        <w:rPr>
          <w:b/>
          <w:color w:val="000000"/>
          <w:lang w:eastAsia="lt-LT"/>
        </w:rPr>
      </w:pPr>
      <w:r>
        <w:rPr>
          <w:b/>
          <w:bCs/>
          <w:color w:val="000000"/>
          <w:lang w:eastAsia="lt-LT"/>
        </w:rPr>
        <w:t>2021 METŲ VEIKLOS ATASKAITA</w:t>
      </w:r>
    </w:p>
    <w:p w:rsidR="00EA231E" w:rsidRDefault="00EA231E" w:rsidP="00EA231E">
      <w:pPr>
        <w:jc w:val="center"/>
        <w:rPr>
          <w:color w:val="000000"/>
          <w:lang w:eastAsia="lt-LT"/>
        </w:rPr>
      </w:pPr>
      <w:r>
        <w:rPr>
          <w:color w:val="000000"/>
          <w:lang w:eastAsia="lt-LT"/>
        </w:rPr>
        <w:t> </w:t>
      </w:r>
    </w:p>
    <w:tbl>
      <w:tblPr>
        <w:tblW w:w="0" w:type="auto"/>
        <w:tblInd w:w="-147" w:type="dxa"/>
        <w:tblCellMar>
          <w:left w:w="0" w:type="dxa"/>
          <w:right w:w="0" w:type="dxa"/>
        </w:tblCellMar>
        <w:tblLook w:val="04A0" w:firstRow="1" w:lastRow="0" w:firstColumn="1" w:lastColumn="0" w:noHBand="0" w:noVBand="1"/>
      </w:tblPr>
      <w:tblGrid>
        <w:gridCol w:w="9765"/>
      </w:tblGrid>
      <w:tr w:rsidR="00EA231E" w:rsidTr="00B01EA1">
        <w:tc>
          <w:tcPr>
            <w:tcW w:w="9765" w:type="dxa"/>
            <w:tcMar>
              <w:top w:w="0" w:type="dxa"/>
              <w:left w:w="108" w:type="dxa"/>
              <w:bottom w:w="0" w:type="dxa"/>
              <w:right w:w="108" w:type="dxa"/>
            </w:tcMar>
            <w:hideMark/>
          </w:tcPr>
          <w:p w:rsidR="00EA231E" w:rsidRDefault="00EA231E" w:rsidP="00CA3D17">
            <w:pPr>
              <w:ind w:firstLine="570"/>
              <w:jc w:val="both"/>
              <w:rPr>
                <w:lang w:eastAsia="lt-LT"/>
              </w:rPr>
            </w:pPr>
            <w:r>
              <w:rPr>
                <w:lang w:eastAsia="lt-LT"/>
              </w:rPr>
              <w:t>Klaipėdos lopšelis-darželis „Žilvitis“ (</w:t>
            </w:r>
            <w:r>
              <w:rPr>
                <w:rFonts w:eastAsia="Calibri"/>
              </w:rPr>
              <w:t xml:space="preserve">toliau – </w:t>
            </w:r>
            <w:r>
              <w:rPr>
                <w:lang w:eastAsia="lt-LT"/>
              </w:rPr>
              <w:t xml:space="preserve">Įstaiga) įgyvendina ikimokyklinio ir priešmokyklinio ugdymo programas. 2021 m. rugsėjo 1 d. duomenimis, Įstaigą lankė 188 ugdytiniai, iš jų 150 vaikų buvo ugdoma pagal ikimokyklinio ugdymo, 38 vaikai – pagal priešmokyklinio ugdymo programas. Įstaigoje dirbo 22 pedagogai ir 23 nepedagoginiai darbuotojai (46,01 etato). </w:t>
            </w:r>
          </w:p>
          <w:p w:rsidR="00EA231E" w:rsidRDefault="00EA231E" w:rsidP="00CA3D17">
            <w:pPr>
              <w:ind w:firstLine="591"/>
              <w:jc w:val="both"/>
              <w:rPr>
                <w:rFonts w:eastAsia="Calibri"/>
              </w:rPr>
            </w:pPr>
            <w:r>
              <w:rPr>
                <w:rFonts w:eastAsia="Calibri"/>
              </w:rPr>
              <w:t>2021 m. Įstaigoje veikla buvo organizuota, vadovaujantis Įstaigos 2021</w:t>
            </w:r>
            <w:r>
              <w:rPr>
                <w:lang w:eastAsia="lt-LT"/>
              </w:rPr>
              <w:t>–</w:t>
            </w:r>
            <w:r>
              <w:rPr>
                <w:rFonts w:eastAsia="Calibri"/>
              </w:rPr>
              <w:t xml:space="preserve">2023 m. strateginiu planu (toliau – Strateginis planas) ir Įstaigos 2021 m. veiklos planu (toliau – Veiklos planas). Įstaigos bendruomenė 2021 m. išsikėlė prioritetą </w:t>
            </w:r>
            <w:r>
              <w:rPr>
                <w:lang w:eastAsia="lt-LT"/>
              </w:rPr>
              <w:t>–</w:t>
            </w:r>
            <w:r>
              <w:rPr>
                <w:rFonts w:eastAsia="Calibri"/>
              </w:rPr>
              <w:t xml:space="preserve"> kokybiško ugdymo paslaugos teikimas atsižvelgiant į įvairių gebėjimų turinčių vaikų poreikius bei kuriant sveiką, modernią, estetišką, fiziškai ir emociškai saugią įstaigos aplinką, atliepiančią bendruomenės poreikius, skatinančią lyderystę. 2021 m. Įstaiga siekė strateginių tikslų: 1) užtikrinti kokybišką ugdymo proceso organizavimą; 2) užtikrinti sveiką, saugią ir šiuolaikinius ugdymo(si) reikalavimus atliepiančią aplinką. Strateginiams tikslams įgyvendinti Strateginiame ir Veiklos planuose buvo iškelti veiklos tikslai ir uždaviniai, numatytos priemonės laukiamiems rezultatams pasiekti.</w:t>
            </w:r>
          </w:p>
          <w:p w:rsidR="00EA231E" w:rsidRDefault="00EA231E" w:rsidP="00CA3D17">
            <w:pPr>
              <w:ind w:firstLine="591"/>
              <w:jc w:val="both"/>
              <w:rPr>
                <w:lang w:eastAsia="lt-LT"/>
              </w:rPr>
            </w:pPr>
            <w:r>
              <w:rPr>
                <w:rFonts w:eastAsia="Calibri"/>
              </w:rPr>
              <w:t>Siekiant Strateginio plano pirmojo tikslo – užtikrinti kokybišką ugdymo proceso organizavimą</w:t>
            </w:r>
            <w:r>
              <w:rPr>
                <w:rFonts w:eastAsia="Calibri"/>
                <w:b/>
              </w:rPr>
              <w:t xml:space="preserve"> </w:t>
            </w:r>
            <w:r>
              <w:rPr>
                <w:rFonts w:eastAsia="Calibri"/>
              </w:rPr>
              <w:t xml:space="preserve">– Įstaigos veikla buvo orientuota į ugdymo proceso tobulinimą, </w:t>
            </w:r>
            <w:r>
              <w:rPr>
                <w:rFonts w:eastAsia="Calibri"/>
                <w:lang w:eastAsia="lt-LT"/>
              </w:rPr>
              <w:t>užtikrinant kokybišką inovatyvų ugdymo(si) procesą, atitinkantį įvairių gebėjimų turinčių vaikų poreikius</w:t>
            </w:r>
            <w:r>
              <w:rPr>
                <w:rFonts w:eastAsia="Calibri"/>
              </w:rPr>
              <w:t>. Tikslui pasiekti buvo vykdomi du Veiklos plano uždaviniai:</w:t>
            </w:r>
          </w:p>
          <w:p w:rsidR="00EA231E" w:rsidRDefault="00EA231E" w:rsidP="00CA3D17">
            <w:pPr>
              <w:ind w:left="2" w:firstLine="566"/>
              <w:jc w:val="both"/>
              <w:rPr>
                <w:rFonts w:eastAsia="Calibri"/>
              </w:rPr>
            </w:pPr>
            <w:r>
              <w:rPr>
                <w:rFonts w:eastAsia="Calibri"/>
              </w:rPr>
              <w:t xml:space="preserve">– įgyvendinant pirmąjį uždavinį – </w:t>
            </w:r>
            <w:r>
              <w:rPr>
                <w:rFonts w:eastAsia="Calibri"/>
                <w:lang w:eastAsia="lt-LT"/>
              </w:rPr>
              <w:t>individualizuoti ir diferencijuoti ugdymą atsižvelgiant į vaiko poreikius ir gebėjimus</w:t>
            </w:r>
            <w:r>
              <w:rPr>
                <w:rFonts w:eastAsia="Calibri"/>
              </w:rPr>
              <w:t xml:space="preserve"> – padaryta pažanga pedagogų profesinio tobulėjimo srityje. Visi Įstaigos pedagogai patobulino savo kvalifikaciją darbo su įvairių gebėjimų vaikais srityje, dalyvaudami seminaruose: „</w:t>
            </w:r>
            <w:r>
              <w:rPr>
                <w:rFonts w:eastAsia="Calibri"/>
                <w:shd w:val="clear" w:color="auto" w:fill="FFFFFF"/>
              </w:rPr>
              <w:t>Pasiruošimas darbui su vaikais, turinčiais autizmo spektro sutrikimų</w:t>
            </w:r>
            <w:r>
              <w:rPr>
                <w:rFonts w:eastAsia="Calibri"/>
              </w:rPr>
              <w:t>“, „Alfa kartos vaikų kūrybiškumas“, „Besimokančių darželių tinklo“ (toliau – BDT) mokymų programoje. 2021 m. pedagogai kvalifikaciją tobulino 3080 val. (vidutiniškai 134 val. 1 pedagogas per metus). Kvalifikacijos tobulinimui panaudota 1695,37 Eur.  30 vaikų teikta logopedo pagalba, 1 grupėje teikta mokytojo padėjėjo pagalba, bendradarbiaujant pedagogams ir logopedui parengtos 8 pritaikytos ikimokyklinio ir priešmokyklinio ugdymo programos, teiktos logopedo konsultacijos tėvams. Ugdytiniai aktyviai dalyvavo parodose, konkursuose, projektuose (5 tarptautiniai, 56 respublikiniai, 5 miesto renginiai), Įstaigos pedagogai organizavo 3 respublikines virtualias kūrybinių darbų parodas. Įstaigoje įgyvendintos 4 neformaliojo švietimo programos (meninio (dailės), fizinio ugdymo, sveikos ir saugios gyvensenos bei pažinimo ir tyrinėjimo). Patobulintas ugdymo veiklos diferencijavimo ir individualizavimo fiksavimas elektroniniame dienyne ir užduočių, veiklų diferencijavimas ugdymo proceso metu. Vykdytos ugdomosios veiklos stebėsenos duomenimis, 75% pedagogų diferencijavo užduotis, atsižvelgdami į vaikų poreikius ir gebėjimus;</w:t>
            </w:r>
          </w:p>
          <w:p w:rsidR="00EA231E" w:rsidRDefault="00EA231E" w:rsidP="00CA3D17">
            <w:pPr>
              <w:ind w:left="29" w:firstLine="539"/>
              <w:jc w:val="both"/>
              <w:rPr>
                <w:rFonts w:eastAsia="Calibri"/>
              </w:rPr>
            </w:pPr>
            <w:r>
              <w:rPr>
                <w:rFonts w:eastAsia="Calibri"/>
              </w:rPr>
              <w:t xml:space="preserve">– įgyvendinant antrąjį uždavinį – </w:t>
            </w:r>
            <w:r>
              <w:rPr>
                <w:rFonts w:eastAsia="Calibri"/>
                <w:lang w:eastAsia="lt-LT"/>
              </w:rPr>
              <w:t xml:space="preserve">aktyviai taikyti inovatyvius ugdymo metodus, priemones, išnaudojant lauko erdves ir informacines komunikacines technologijas (toliau — IKT) – </w:t>
            </w:r>
            <w:r>
              <w:rPr>
                <w:rFonts w:eastAsia="Calibri"/>
              </w:rPr>
              <w:t xml:space="preserve">įrengta edukacinė erdvė „Atradimų kiemelis“, išpiešta aikštelė saugaus eismo mokymui. Visi pedagogai patobulino kompetencijas IKT taikymo srityje dalyvaudami mokymuose „IKT  taikymas ikimokykliniame ir priešmokykliniame ugdyme“, rodytos 3 atviros veiklos Įstaigos pedagogams, 1 veikla pristatyta mieste, 2 pedagogai pristatė savo parengtas inovatyvias priemones. Pedagogai aktyviai vykdė gerosios patirties sklaidą: 3 pranešimai pristatyti Įstaigos, 9 pranešimai – miesto pedagogams ir 2 pranešimai – tarptautinėse konferencijose. Atliktos pedagogų apklausos </w:t>
            </w:r>
            <w:r>
              <w:rPr>
                <w:rFonts w:eastAsia="Calibri"/>
              </w:rPr>
              <w:lastRenderedPageBreak/>
              <w:t>„Inovacijų taikymas ikimokykliniame ir priešmokykliniame ugdyme“ rezultatai ir vykdytos ugdomosios veiklos stebėsena parodė, kad pedagogai ugdymo procese dažnai taiko IKT, veiklas, skatinančias vaikų kūrybiškumą, patyriminį ugdymą.</w:t>
            </w:r>
          </w:p>
          <w:p w:rsidR="00EA231E" w:rsidRDefault="00EA231E" w:rsidP="00CA3D17">
            <w:pPr>
              <w:ind w:firstLine="591"/>
              <w:jc w:val="both"/>
              <w:rPr>
                <w:rFonts w:eastAsia="Calibri"/>
              </w:rPr>
            </w:pPr>
            <w:r>
              <w:rPr>
                <w:rFonts w:eastAsia="Calibri"/>
              </w:rPr>
              <w:t xml:space="preserve">Siekiant Strateginio plano antrojo tikslo – užtikrinti sveiką, saugią ir šiuolaikinius ugdymo(si) reikalavimus atliepiančią aplinką – Įstaigos veikla buvo orientuota į </w:t>
            </w:r>
            <w:r>
              <w:rPr>
                <w:rFonts w:eastAsia="Calibri"/>
                <w:lang w:eastAsia="lt-LT"/>
              </w:rPr>
              <w:t>sveikos, modernios, estetiškos, fiziškai ir emociškai saugios aplinkos, bendruomenės poreikius atliepiančios ir skatinančios lyderystę kūrimą. Tikslui pasiekti buvo vykdomi trys Veiklos plano uždaviniai:</w:t>
            </w:r>
          </w:p>
          <w:p w:rsidR="00EA231E" w:rsidRDefault="00EA231E" w:rsidP="00CA3D17">
            <w:pPr>
              <w:ind w:left="29" w:firstLine="541"/>
              <w:jc w:val="both"/>
              <w:rPr>
                <w:rFonts w:eastAsia="Calibri"/>
              </w:rPr>
            </w:pPr>
            <w:r>
              <w:rPr>
                <w:rFonts w:eastAsia="Calibri"/>
                <w:lang w:eastAsia="lt-LT"/>
              </w:rPr>
              <w:t xml:space="preserve">– įgyvendinant pirmąjį uždavinį – atnaujinti pagal finansines galimybes Įstaigos ugdymo  aplinką, siekiant užtikrinti ikimokyklinio ugdymo higienos normų reikalavimus – </w:t>
            </w:r>
            <w:r>
              <w:rPr>
                <w:rFonts w:eastAsia="Calibri"/>
              </w:rPr>
              <w:t xml:space="preserve">3 grupėse atnaujintos 48 vaikiškos lovytės, įsigyta 20 vaikiškų kėdžių, 3 spintos (4905 Eur). Vykdant kontroliuojančių institucijų reikalavimus, atlikti Įstaigos koridoriaus renovavimo darbai, 3 laiptinėse pakeisti turėklai, renovuoti 3 lauko laiptai ir laiptų aikštelės, atnaujintas sveikatos priežiūros specialisto kabinetas. Suderinus su Klaipėdos miesto savivaldybės administracijos Aplinkosaugos skyriumi, dėl vaikų ir kitų asmenų saugumo Įstaigos teritorijoje buvo išgenėti seni medžiai bei  iškirsti medžiai, ardę pastato konstrukcijas. Sudarytos palankesnės sąlygos IKT taikymui: nupirktas 1 kompiuteris ir 1 SMART televizorius (907 Eur). Kitų mokymo(si) priemonių grupėse, edukacinėse erdvėse atnaujinimui panaudota 3165 Eur; </w:t>
            </w:r>
          </w:p>
          <w:p w:rsidR="00EA231E" w:rsidRDefault="00EA231E" w:rsidP="00CA3D17">
            <w:pPr>
              <w:ind w:left="29" w:firstLine="541"/>
              <w:jc w:val="both"/>
              <w:rPr>
                <w:rFonts w:eastAsia="Calibri"/>
              </w:rPr>
            </w:pPr>
            <w:r>
              <w:rPr>
                <w:rFonts w:eastAsia="Calibri"/>
              </w:rPr>
              <w:t xml:space="preserve">– įgyvendinant antrąjį uždavinį – </w:t>
            </w:r>
            <w:r>
              <w:rPr>
                <w:rFonts w:eastAsia="Calibri"/>
                <w:lang w:eastAsia="lt-LT"/>
              </w:rPr>
              <w:t xml:space="preserve">sutelkti Įstaigos bendruomenę ir socialinius partnerius pozityviam dalykiniam bendravimui ir bendradarbiavimui – </w:t>
            </w:r>
            <w:r>
              <w:rPr>
                <w:rFonts w:eastAsia="Calibri"/>
              </w:rPr>
              <w:t>organizuotos su socialiniais partneriais 2 metodinės dienos: „</w:t>
            </w:r>
            <w:r>
              <w:rPr>
                <w:rFonts w:eastAsia="Calibri"/>
                <w:color w:val="000000"/>
              </w:rPr>
              <w:t>Ugdymo individualizavimas ir diferencijavimas atsižvelgiant į vaiko poreikius, gebėjimus“</w:t>
            </w:r>
            <w:r>
              <w:rPr>
                <w:rFonts w:eastAsia="Calibri"/>
              </w:rPr>
              <w:t xml:space="preserve">, </w:t>
            </w:r>
            <w:r>
              <w:rPr>
                <w:rFonts w:eastAsia="Calibri"/>
                <w:color w:val="000000"/>
              </w:rPr>
              <w:t xml:space="preserve">„Inovatyvių ugdymo metodų ir priemonių naudojimas ugdymo procese“, </w:t>
            </w:r>
            <w:r>
              <w:rPr>
                <w:rFonts w:eastAsia="Calibri"/>
              </w:rPr>
              <w:t xml:space="preserve">patirtimi dalintasi socialinių partnerių organizuotoje metodinėje dienoje „STEAM – ikimokyklinėje ugdymo įstaigoje“. Organizuota </w:t>
            </w:r>
            <w:r>
              <w:rPr>
                <w:lang w:eastAsia="lt-LT"/>
              </w:rPr>
              <w:t xml:space="preserve">viktorina priešmokyklinio amžiaus vaikams su socialiniais partneriais ,,Saugausi aš, saugokis ir tu“, respublikinis projektas „Pinkim pynę, pūskim dūdą žilvitinę“. Dalyvauta socialinių partnerių  organizuotuose 5 renginiuose, projektuose; </w:t>
            </w:r>
          </w:p>
          <w:p w:rsidR="00EA231E" w:rsidRDefault="00EA231E" w:rsidP="00CA3D17">
            <w:pPr>
              <w:ind w:left="29" w:firstLine="541"/>
              <w:jc w:val="both"/>
              <w:rPr>
                <w:rFonts w:eastAsia="Calibri"/>
              </w:rPr>
            </w:pPr>
            <w:r>
              <w:rPr>
                <w:rFonts w:eastAsia="Calibri"/>
              </w:rPr>
              <w:t>– įgyvendinant trečiąjį uždavinį –</w:t>
            </w:r>
            <w:r>
              <w:rPr>
                <w:rFonts w:eastAsia="Calibri"/>
                <w:lang w:eastAsia="lt-LT"/>
              </w:rPr>
              <w:t xml:space="preserve"> skatinti pozityvų įstaigos ir šeimos bendradarbiavimą kuriant sveiką, modernią, fiziškai ir emociškai saugią aplinką – </w:t>
            </w:r>
            <w:r>
              <w:rPr>
                <w:rFonts w:eastAsia="Calibri"/>
              </w:rPr>
              <w:t>Įstaigos tarybai bendradarbiaujant su Tėvų taryba, organizuota akcija „Pasodink pušelę“, kurios metu Įstaigos teritorijoje buvo pasodinta 30 pušelių. Tėvų tarybos iniciatyva suorganizuota ir įgyvendinta kalėdinės eglutės lauke puošimo akcija. Padedant ugdytinių tėvams, sutvarkyta viena žaidimo aikštelė. Tėveliai aktyviai įsijungė į aplinkos saugojimo projektą „Mes rūšiuojame“, dalyvavo kitose grupių ir Įstaigos organizuotose veiklose (grupės projekte „</w:t>
            </w:r>
            <w:r>
              <w:rPr>
                <w:lang w:eastAsia="lt-LT"/>
              </w:rPr>
              <w:t>Pati mieliausia pasaka“</w:t>
            </w:r>
            <w:r>
              <w:rPr>
                <w:rFonts w:eastAsia="Calibri"/>
              </w:rPr>
              <w:t>, Įstaigos organizuotose respublikinėse parodose „Ruduo žibintų šviesoje”, „Kalėdinis vainikas 2021“ ir kt.). Organizuotos 2 psichologų paskaitos tėvams. Atliktas Įstaigos veiklos įsivertinimas pagal rodiklį „Šeimos ir mokyklos bendradarbiavimas ugdymo procese“. Atlikto įsivertinimo rezultatai parodė, kad Įstaigoje vyrauja glaudus mokytojų, vaikų ir šeimos bendradarbiavimas, ugdytojų ir ugdytinių sąveika grindžiama abipuse partneryste. Kuriant sveiką ir emociškai saugią aplinką, Įstaigoje pradėta įgyvendinti sveikatos stiprinimo programa „Sveikatos takeliu 2021–2025 m.“, visose grupėse įgyvendinti sveikos gyvensenos projektai, dalyvauta „Futboliuko“, „Sveikatiados“ projektuose, „Lietuvos mažųjų žaidynėse“, įgyvendinta prevencinė smurto ir patyčių programa ,,Zipio draugai“. Įstaigos 12 asmenų komanda dalyvavo Klaipėdos visuomenės sveikatos biuro mokymuose „Streso valdymo praktikos grupiniuose mokymuose“.</w:t>
            </w:r>
          </w:p>
          <w:p w:rsidR="00EA231E" w:rsidRDefault="00EA231E">
            <w:pPr>
              <w:spacing w:line="276" w:lineRule="auto"/>
              <w:ind w:firstLine="591"/>
              <w:jc w:val="both"/>
              <w:rPr>
                <w:rFonts w:eastAsia="Calibri"/>
              </w:rPr>
            </w:pPr>
            <w:r>
              <w:rPr>
                <w:rFonts w:eastAsia="Calibri"/>
              </w:rPr>
              <w:t>2021 m. finansinė Įstaigos situacija:</w:t>
            </w:r>
          </w:p>
          <w:tbl>
            <w:tblPr>
              <w:tblStyle w:val="Lentelstinklelis"/>
              <w:tblW w:w="0" w:type="auto"/>
              <w:tblInd w:w="19" w:type="dxa"/>
              <w:tblLook w:val="04A0" w:firstRow="1" w:lastRow="0" w:firstColumn="1" w:lastColumn="0" w:noHBand="0" w:noVBand="1"/>
            </w:tblPr>
            <w:tblGrid>
              <w:gridCol w:w="1550"/>
              <w:gridCol w:w="1470"/>
              <w:gridCol w:w="1216"/>
              <w:gridCol w:w="1283"/>
              <w:gridCol w:w="4001"/>
            </w:tblGrid>
            <w:tr w:rsidR="00EA231E">
              <w:tc>
                <w:tcPr>
                  <w:tcW w:w="1553" w:type="dxa"/>
                  <w:vMerge w:val="restart"/>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 xml:space="preserve">Finansavimo </w:t>
                  </w:r>
                </w:p>
                <w:p w:rsidR="00EA231E" w:rsidRDefault="00EA231E">
                  <w:pPr>
                    <w:jc w:val="both"/>
                    <w:rPr>
                      <w:rFonts w:eastAsia="Calibri"/>
                    </w:rPr>
                  </w:pPr>
                  <w:r>
                    <w:rPr>
                      <w:rFonts w:eastAsia="Calibri"/>
                    </w:rPr>
                    <w:t>šaltinis</w:t>
                  </w:r>
                </w:p>
              </w:tc>
              <w:tc>
                <w:tcPr>
                  <w:tcW w:w="3834" w:type="dxa"/>
                  <w:gridSpan w:val="3"/>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Lėšos (tūkst. eurų)</w:t>
                  </w:r>
                </w:p>
              </w:tc>
              <w:tc>
                <w:tcPr>
                  <w:tcW w:w="4133" w:type="dxa"/>
                  <w:vMerge w:val="restart"/>
                  <w:tcBorders>
                    <w:top w:val="single" w:sz="4" w:space="0" w:color="auto"/>
                    <w:left w:val="single" w:sz="4" w:space="0" w:color="auto"/>
                    <w:bottom w:val="single" w:sz="4" w:space="0" w:color="auto"/>
                    <w:right w:val="single" w:sz="4" w:space="0" w:color="auto"/>
                  </w:tcBorders>
                </w:tcPr>
                <w:p w:rsidR="00EA231E" w:rsidRDefault="00EA231E">
                  <w:pPr>
                    <w:jc w:val="both"/>
                    <w:rPr>
                      <w:rFonts w:eastAsia="Calibri"/>
                    </w:rPr>
                  </w:pPr>
                  <w:r>
                    <w:rPr>
                      <w:rFonts w:eastAsia="Calibri"/>
                    </w:rPr>
                    <w:t>Pastabos</w:t>
                  </w:r>
                </w:p>
                <w:p w:rsidR="00EA231E" w:rsidRDefault="00EA231E">
                  <w:pPr>
                    <w:jc w:val="both"/>
                    <w:rPr>
                      <w:rFonts w:eastAsia="Calibri"/>
                    </w:rPr>
                  </w:pPr>
                </w:p>
              </w:tc>
            </w:tr>
            <w:tr w:rsidR="00EA231E">
              <w:tc>
                <w:tcPr>
                  <w:tcW w:w="0" w:type="auto"/>
                  <w:vMerge/>
                  <w:tcBorders>
                    <w:top w:val="single" w:sz="4" w:space="0" w:color="auto"/>
                    <w:left w:val="single" w:sz="4" w:space="0" w:color="auto"/>
                    <w:bottom w:val="single" w:sz="4" w:space="0" w:color="auto"/>
                    <w:right w:val="single" w:sz="4" w:space="0" w:color="auto"/>
                  </w:tcBorders>
                  <w:vAlign w:val="center"/>
                  <w:hideMark/>
                </w:tcPr>
                <w:p w:rsidR="00EA231E" w:rsidRDefault="00EA231E">
                  <w:pPr>
                    <w:rPr>
                      <w:rFonts w:eastAsia="Calibri"/>
                    </w:rPr>
                  </w:pPr>
                </w:p>
              </w:tc>
              <w:tc>
                <w:tcPr>
                  <w:tcW w:w="1470"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Panaudota lėšų</w:t>
                  </w:r>
                </w:p>
              </w:tc>
              <w:tc>
                <w:tcPr>
                  <w:tcW w:w="1148"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Įvykdymas</w:t>
                  </w:r>
                </w:p>
                <w:p w:rsidR="00EA231E" w:rsidRDefault="00EA231E">
                  <w:pPr>
                    <w:jc w:val="both"/>
                    <w:rPr>
                      <w:rFonts w:eastAsia="Calibri"/>
                    </w:rPr>
                  </w:pPr>
                  <w:r>
                    <w:rPr>
                      <w:rFonts w:eastAsia="Calibri"/>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231E" w:rsidRDefault="00EA231E">
                  <w:pPr>
                    <w:rPr>
                      <w:rFonts w:eastAsia="Calibri"/>
                    </w:rPr>
                  </w:pPr>
                </w:p>
              </w:tc>
            </w:tr>
            <w:tr w:rsidR="00EA231E">
              <w:trPr>
                <w:trHeight w:val="415"/>
              </w:trPr>
              <w:tc>
                <w:tcPr>
                  <w:tcW w:w="1553"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Savivaldybės biudžetas (SB)</w:t>
                  </w:r>
                </w:p>
              </w:tc>
              <w:tc>
                <w:tcPr>
                  <w:tcW w:w="1470"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442,4</w:t>
                  </w:r>
                </w:p>
              </w:tc>
              <w:tc>
                <w:tcPr>
                  <w:tcW w:w="1216"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440,3</w:t>
                  </w:r>
                </w:p>
              </w:tc>
              <w:tc>
                <w:tcPr>
                  <w:tcW w:w="1148"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99,53</w:t>
                  </w:r>
                </w:p>
              </w:tc>
              <w:tc>
                <w:tcPr>
                  <w:tcW w:w="4133"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Dėl paskelbto karantino panaudotos ne visos suplanuotos nemokamo maitinimo ir maitinimo paslaugų kompensavimo lėšos;</w:t>
                  </w:r>
                </w:p>
                <w:p w:rsidR="00EA231E" w:rsidRDefault="00EA231E">
                  <w:pPr>
                    <w:jc w:val="both"/>
                    <w:rPr>
                      <w:rFonts w:eastAsia="Calibri"/>
                    </w:rPr>
                  </w:pPr>
                  <w:r>
                    <w:rPr>
                      <w:rFonts w:eastAsia="Calibri"/>
                    </w:rPr>
                    <w:t>ne visos panaudotos išeitinėms planuotos lėšos</w:t>
                  </w:r>
                </w:p>
              </w:tc>
            </w:tr>
            <w:tr w:rsidR="00EA231E">
              <w:tc>
                <w:tcPr>
                  <w:tcW w:w="1553"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lastRenderedPageBreak/>
                    <w:t>Specialioji tikslinė dotacija</w:t>
                  </w:r>
                </w:p>
                <w:p w:rsidR="00EA231E" w:rsidRDefault="00EA231E">
                  <w:pPr>
                    <w:jc w:val="both"/>
                    <w:rPr>
                      <w:rFonts w:eastAsia="Calibri"/>
                    </w:rPr>
                  </w:pPr>
                  <w:r>
                    <w:rPr>
                      <w:rFonts w:eastAsia="Calibri"/>
                    </w:rPr>
                    <w:t>(VB)</w:t>
                  </w:r>
                </w:p>
              </w:tc>
              <w:tc>
                <w:tcPr>
                  <w:tcW w:w="1470"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293,2</w:t>
                  </w:r>
                </w:p>
              </w:tc>
              <w:tc>
                <w:tcPr>
                  <w:tcW w:w="1216"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290,8</w:t>
                  </w:r>
                </w:p>
              </w:tc>
              <w:tc>
                <w:tcPr>
                  <w:tcW w:w="1148"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99,18</w:t>
                  </w:r>
                </w:p>
              </w:tc>
              <w:tc>
                <w:tcPr>
                  <w:tcW w:w="4133"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 xml:space="preserve">Dėl Covid-19 panaudotos ne visos suplanuotos nemokamo maitinimo lėšos; </w:t>
                  </w:r>
                </w:p>
                <w:p w:rsidR="00EA231E" w:rsidRDefault="00EA231E">
                  <w:pPr>
                    <w:jc w:val="both"/>
                    <w:rPr>
                      <w:rFonts w:eastAsia="Calibri"/>
                    </w:rPr>
                  </w:pPr>
                  <w:r>
                    <w:rPr>
                      <w:rFonts w:eastAsia="Calibri"/>
                    </w:rPr>
                    <w:t>dėl darbuotojo nedarbingumo nepanaudota dalis lėšų iš dotacijos naujoms mokytojų padėjėjų pareigybėms 2021 m. įsteigti</w:t>
                  </w:r>
                </w:p>
              </w:tc>
            </w:tr>
            <w:tr w:rsidR="00EA231E">
              <w:tc>
                <w:tcPr>
                  <w:tcW w:w="1553"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EA231E" w:rsidRDefault="00EA231E">
                  <w:pPr>
                    <w:jc w:val="both"/>
                    <w:rPr>
                      <w:rFonts w:eastAsia="Calibri"/>
                    </w:rPr>
                  </w:pPr>
                  <w:r>
                    <w:rPr>
                      <w:rFonts w:eastAsia="Calibri"/>
                    </w:rPr>
                    <w:t>1,1</w:t>
                  </w:r>
                </w:p>
                <w:p w:rsidR="00EA231E" w:rsidRDefault="00EA231E">
                  <w:pPr>
                    <w:jc w:val="both"/>
                    <w:rPr>
                      <w:rFonts w:eastAsia="Calibri"/>
                    </w:rPr>
                  </w:pPr>
                </w:p>
                <w:p w:rsidR="00EA231E" w:rsidRDefault="00EA231E">
                  <w:pPr>
                    <w:jc w:val="both"/>
                    <w:rPr>
                      <w:rFonts w:eastAsia="Calibri"/>
                    </w:rPr>
                  </w:pPr>
                </w:p>
                <w:p w:rsidR="00EA231E" w:rsidRDefault="00EA231E">
                  <w:pPr>
                    <w:jc w:val="both"/>
                    <w:rPr>
                      <w:rFonts w:eastAsia="Calibri"/>
                    </w:rPr>
                  </w:pPr>
                  <w:r>
                    <w:rPr>
                      <w:rFonts w:eastAsia="Calibri"/>
                    </w:rPr>
                    <w:t>87,0</w:t>
                  </w:r>
                </w:p>
              </w:tc>
              <w:tc>
                <w:tcPr>
                  <w:tcW w:w="1216" w:type="dxa"/>
                  <w:tcBorders>
                    <w:top w:val="single" w:sz="4" w:space="0" w:color="auto"/>
                    <w:left w:val="single" w:sz="4" w:space="0" w:color="auto"/>
                    <w:bottom w:val="single" w:sz="4" w:space="0" w:color="auto"/>
                    <w:right w:val="single" w:sz="4" w:space="0" w:color="auto"/>
                  </w:tcBorders>
                </w:tcPr>
                <w:p w:rsidR="00EA231E" w:rsidRDefault="00EA231E">
                  <w:pPr>
                    <w:jc w:val="both"/>
                    <w:rPr>
                      <w:rFonts w:eastAsia="Calibri"/>
                    </w:rPr>
                  </w:pPr>
                  <w:r>
                    <w:rPr>
                      <w:rFonts w:eastAsia="Calibri"/>
                    </w:rPr>
                    <w:t>0,15</w:t>
                  </w:r>
                </w:p>
                <w:p w:rsidR="00EA231E" w:rsidRDefault="00EA231E">
                  <w:pPr>
                    <w:jc w:val="both"/>
                    <w:rPr>
                      <w:rFonts w:eastAsia="Calibri"/>
                    </w:rPr>
                  </w:pPr>
                </w:p>
                <w:p w:rsidR="00EA231E" w:rsidRDefault="00EA231E">
                  <w:pPr>
                    <w:jc w:val="both"/>
                    <w:rPr>
                      <w:rFonts w:eastAsia="Calibri"/>
                    </w:rPr>
                  </w:pPr>
                </w:p>
                <w:p w:rsidR="00EA231E" w:rsidRDefault="00EA231E">
                  <w:pPr>
                    <w:jc w:val="both"/>
                    <w:rPr>
                      <w:rFonts w:eastAsia="Calibri"/>
                    </w:rPr>
                  </w:pPr>
                  <w:r>
                    <w:rPr>
                      <w:rFonts w:eastAsia="Calibri"/>
                    </w:rPr>
                    <w:t>79,5</w:t>
                  </w:r>
                </w:p>
                <w:p w:rsidR="00EA231E" w:rsidRDefault="00EA231E">
                  <w:pPr>
                    <w:jc w:val="both"/>
                    <w:rPr>
                      <w:rFonts w:eastAsia="Calibri"/>
                    </w:rPr>
                  </w:pPr>
                </w:p>
              </w:tc>
              <w:tc>
                <w:tcPr>
                  <w:tcW w:w="1148" w:type="dxa"/>
                  <w:tcBorders>
                    <w:top w:val="single" w:sz="4" w:space="0" w:color="auto"/>
                    <w:left w:val="single" w:sz="4" w:space="0" w:color="auto"/>
                    <w:bottom w:val="single" w:sz="4" w:space="0" w:color="auto"/>
                    <w:right w:val="single" w:sz="4" w:space="0" w:color="auto"/>
                  </w:tcBorders>
                </w:tcPr>
                <w:p w:rsidR="00EA231E" w:rsidRDefault="00EA231E">
                  <w:pPr>
                    <w:jc w:val="both"/>
                    <w:rPr>
                      <w:rFonts w:eastAsia="Calibri"/>
                    </w:rPr>
                  </w:pPr>
                  <w:r>
                    <w:rPr>
                      <w:rFonts w:eastAsia="Calibri"/>
                    </w:rPr>
                    <w:t>13,64</w:t>
                  </w:r>
                </w:p>
                <w:p w:rsidR="00EA231E" w:rsidRDefault="00EA231E">
                  <w:pPr>
                    <w:jc w:val="both"/>
                    <w:rPr>
                      <w:rFonts w:eastAsia="Calibri"/>
                    </w:rPr>
                  </w:pPr>
                </w:p>
                <w:p w:rsidR="00EA231E" w:rsidRDefault="00EA231E">
                  <w:pPr>
                    <w:jc w:val="both"/>
                    <w:rPr>
                      <w:rFonts w:eastAsia="Calibri"/>
                    </w:rPr>
                  </w:pPr>
                </w:p>
                <w:p w:rsidR="00EA231E" w:rsidRDefault="00EA231E">
                  <w:pPr>
                    <w:jc w:val="both"/>
                    <w:rPr>
                      <w:rFonts w:eastAsia="Calibri"/>
                    </w:rPr>
                  </w:pPr>
                  <w:r>
                    <w:rPr>
                      <w:rFonts w:eastAsia="Calibri"/>
                    </w:rPr>
                    <w:t>91,38</w:t>
                  </w:r>
                </w:p>
              </w:tc>
              <w:tc>
                <w:tcPr>
                  <w:tcW w:w="4133"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Negautos lėšos iš nuomos, nes dėl paskelbto karantino nevyko užsiėmimai.</w:t>
                  </w:r>
                </w:p>
                <w:p w:rsidR="00EA231E" w:rsidRDefault="00EA231E">
                  <w:pPr>
                    <w:jc w:val="both"/>
                    <w:rPr>
                      <w:rFonts w:eastAsia="Calibri"/>
                    </w:rPr>
                  </w:pPr>
                  <w:r>
                    <w:rPr>
                      <w:rFonts w:eastAsia="Calibri"/>
                    </w:rPr>
                    <w:t>Dėl paskelbto karantino už nelankytas dienas nesurinktos pajamos už patiekalų gamybą</w:t>
                  </w:r>
                </w:p>
              </w:tc>
            </w:tr>
            <w:tr w:rsidR="00EA231E">
              <w:trPr>
                <w:trHeight w:val="477"/>
              </w:trPr>
              <w:tc>
                <w:tcPr>
                  <w:tcW w:w="1553" w:type="dxa"/>
                  <w:tcBorders>
                    <w:top w:val="single" w:sz="4" w:space="0" w:color="auto"/>
                    <w:left w:val="single" w:sz="4" w:space="0" w:color="auto"/>
                    <w:bottom w:val="single" w:sz="4" w:space="0" w:color="auto"/>
                    <w:right w:val="single" w:sz="4" w:space="0" w:color="auto"/>
                  </w:tcBorders>
                </w:tcPr>
                <w:p w:rsidR="00EA231E" w:rsidRDefault="00EA231E">
                  <w:pPr>
                    <w:jc w:val="both"/>
                    <w:rPr>
                      <w:rFonts w:eastAsia="Calibri"/>
                    </w:rPr>
                  </w:pPr>
                  <w:r>
                    <w:rPr>
                      <w:rFonts w:eastAsia="Calibri"/>
                    </w:rPr>
                    <w:t>Pajamų išlaidos (SP)</w:t>
                  </w:r>
                </w:p>
                <w:p w:rsidR="00EA231E" w:rsidRDefault="00EA231E">
                  <w:pPr>
                    <w:jc w:val="both"/>
                    <w:rPr>
                      <w:rFonts w:eastAsia="Calibri"/>
                    </w:rPr>
                  </w:pPr>
                  <w:r>
                    <w:rPr>
                      <w:rFonts w:eastAsia="Calibri"/>
                    </w:rPr>
                    <w:t>L-321</w:t>
                  </w:r>
                </w:p>
                <w:p w:rsidR="00EA231E" w:rsidRDefault="00EA231E">
                  <w:pPr>
                    <w:jc w:val="both"/>
                    <w:rPr>
                      <w:rFonts w:eastAsia="Calibri"/>
                    </w:rPr>
                  </w:pPr>
                </w:p>
                <w:p w:rsidR="00EA231E" w:rsidRDefault="00EA231E">
                  <w:pPr>
                    <w:jc w:val="both"/>
                    <w:rPr>
                      <w:rFonts w:eastAsia="Calibri"/>
                    </w:rPr>
                  </w:pPr>
                  <w:r>
                    <w:rPr>
                      <w:rFonts w:eastAsia="Calibri"/>
                    </w:rPr>
                    <w:t>L-331</w:t>
                  </w:r>
                </w:p>
              </w:tc>
              <w:tc>
                <w:tcPr>
                  <w:tcW w:w="1470" w:type="dxa"/>
                  <w:tcBorders>
                    <w:top w:val="single" w:sz="4" w:space="0" w:color="auto"/>
                    <w:left w:val="single" w:sz="4" w:space="0" w:color="auto"/>
                    <w:bottom w:val="single" w:sz="4" w:space="0" w:color="auto"/>
                    <w:right w:val="single" w:sz="4" w:space="0" w:color="auto"/>
                  </w:tcBorders>
                </w:tcPr>
                <w:p w:rsidR="00EA231E" w:rsidRDefault="00EA231E">
                  <w:pPr>
                    <w:jc w:val="both"/>
                    <w:rPr>
                      <w:rFonts w:eastAsia="Calibri"/>
                    </w:rPr>
                  </w:pPr>
                </w:p>
                <w:p w:rsidR="00EA231E" w:rsidRDefault="00EA231E">
                  <w:pPr>
                    <w:jc w:val="both"/>
                    <w:rPr>
                      <w:rFonts w:eastAsia="Calibri"/>
                    </w:rPr>
                  </w:pPr>
                </w:p>
                <w:p w:rsidR="00EA231E" w:rsidRDefault="00EA231E">
                  <w:pPr>
                    <w:jc w:val="both"/>
                    <w:rPr>
                      <w:rFonts w:eastAsia="Calibri"/>
                    </w:rPr>
                  </w:pPr>
                  <w:r>
                    <w:rPr>
                      <w:rFonts w:eastAsia="Calibri"/>
                    </w:rPr>
                    <w:t>–</w:t>
                  </w:r>
                </w:p>
                <w:p w:rsidR="00EA231E" w:rsidRDefault="00EA231E">
                  <w:pPr>
                    <w:jc w:val="both"/>
                    <w:rPr>
                      <w:rFonts w:eastAsia="Calibri"/>
                    </w:rPr>
                  </w:pPr>
                </w:p>
                <w:p w:rsidR="00EA231E" w:rsidRDefault="00EA231E">
                  <w:pPr>
                    <w:jc w:val="both"/>
                    <w:rPr>
                      <w:rFonts w:eastAsia="Calibri"/>
                    </w:rPr>
                  </w:pPr>
                  <w:r>
                    <w:rPr>
                      <w:rFonts w:eastAsia="Calibri"/>
                    </w:rPr>
                    <w:t>–</w:t>
                  </w:r>
                </w:p>
              </w:tc>
              <w:tc>
                <w:tcPr>
                  <w:tcW w:w="1216" w:type="dxa"/>
                  <w:tcBorders>
                    <w:top w:val="single" w:sz="4" w:space="0" w:color="auto"/>
                    <w:left w:val="single" w:sz="4" w:space="0" w:color="auto"/>
                    <w:bottom w:val="single" w:sz="4" w:space="0" w:color="auto"/>
                    <w:right w:val="single" w:sz="4" w:space="0" w:color="auto"/>
                  </w:tcBorders>
                </w:tcPr>
                <w:p w:rsidR="00EA231E" w:rsidRDefault="00EA231E">
                  <w:pPr>
                    <w:jc w:val="both"/>
                    <w:rPr>
                      <w:rFonts w:eastAsia="Calibri"/>
                    </w:rPr>
                  </w:pPr>
                </w:p>
                <w:p w:rsidR="00EA231E" w:rsidRDefault="00EA231E">
                  <w:pPr>
                    <w:jc w:val="both"/>
                    <w:rPr>
                      <w:rFonts w:eastAsia="Calibri"/>
                    </w:rPr>
                  </w:pPr>
                </w:p>
                <w:p w:rsidR="00EA231E" w:rsidRDefault="00EA231E">
                  <w:pPr>
                    <w:jc w:val="both"/>
                    <w:rPr>
                      <w:rFonts w:eastAsia="Calibri"/>
                    </w:rPr>
                  </w:pPr>
                  <w:r>
                    <w:rPr>
                      <w:rFonts w:eastAsia="Calibri"/>
                    </w:rPr>
                    <w:t>0,09</w:t>
                  </w:r>
                </w:p>
                <w:p w:rsidR="00EA231E" w:rsidRDefault="00EA231E">
                  <w:pPr>
                    <w:jc w:val="both"/>
                    <w:rPr>
                      <w:rFonts w:eastAsia="Calibri"/>
                    </w:rPr>
                  </w:pPr>
                </w:p>
                <w:p w:rsidR="00EA231E" w:rsidRDefault="00EA231E">
                  <w:pPr>
                    <w:jc w:val="both"/>
                    <w:rPr>
                      <w:rFonts w:eastAsia="Calibri"/>
                    </w:rPr>
                  </w:pPr>
                  <w:r>
                    <w:rPr>
                      <w:rFonts w:eastAsia="Calibri"/>
                    </w:rPr>
                    <w:t>70,7</w:t>
                  </w:r>
                </w:p>
              </w:tc>
              <w:tc>
                <w:tcPr>
                  <w:tcW w:w="1148" w:type="dxa"/>
                  <w:tcBorders>
                    <w:top w:val="single" w:sz="4" w:space="0" w:color="auto"/>
                    <w:left w:val="single" w:sz="4" w:space="0" w:color="auto"/>
                    <w:bottom w:val="single" w:sz="4" w:space="0" w:color="auto"/>
                    <w:right w:val="single" w:sz="4" w:space="0" w:color="auto"/>
                  </w:tcBorders>
                </w:tcPr>
                <w:p w:rsidR="00EA231E" w:rsidRDefault="00EA231E">
                  <w:pPr>
                    <w:jc w:val="both"/>
                    <w:rPr>
                      <w:rFonts w:eastAsia="Calibri"/>
                    </w:rPr>
                  </w:pPr>
                </w:p>
                <w:p w:rsidR="00EA231E" w:rsidRDefault="00EA231E">
                  <w:pPr>
                    <w:jc w:val="both"/>
                    <w:rPr>
                      <w:rFonts w:eastAsia="Calibri"/>
                    </w:rPr>
                  </w:pPr>
                </w:p>
                <w:p w:rsidR="00EA231E" w:rsidRDefault="00EA231E">
                  <w:pPr>
                    <w:jc w:val="both"/>
                    <w:rPr>
                      <w:rFonts w:eastAsia="Calibri"/>
                    </w:rPr>
                  </w:pPr>
                  <w:r>
                    <w:rPr>
                      <w:rFonts w:eastAsia="Calibri"/>
                    </w:rPr>
                    <w:t>60,0</w:t>
                  </w:r>
                </w:p>
                <w:p w:rsidR="00EA231E" w:rsidRDefault="00EA231E">
                  <w:pPr>
                    <w:jc w:val="both"/>
                    <w:rPr>
                      <w:rFonts w:eastAsia="Calibri"/>
                    </w:rPr>
                  </w:pPr>
                </w:p>
                <w:p w:rsidR="00EA231E" w:rsidRDefault="00EA231E">
                  <w:pPr>
                    <w:jc w:val="both"/>
                    <w:rPr>
                      <w:rFonts w:eastAsia="Calibri"/>
                    </w:rPr>
                  </w:pPr>
                  <w:r>
                    <w:rPr>
                      <w:rFonts w:eastAsia="Calibri"/>
                    </w:rPr>
                    <w:t>88,93</w:t>
                  </w:r>
                </w:p>
              </w:tc>
              <w:tc>
                <w:tcPr>
                  <w:tcW w:w="4133"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Neapmokėtos maisto sąskaitos už paskutines gruodžio dienas, nes nebebuvo vykdomi mokėjimai</w:t>
                  </w:r>
                </w:p>
              </w:tc>
            </w:tr>
            <w:tr w:rsidR="00EA231E">
              <w:trPr>
                <w:trHeight w:val="125"/>
              </w:trPr>
              <w:tc>
                <w:tcPr>
                  <w:tcW w:w="1553"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Projektų finansavimas (ES; VB;SB)</w:t>
                  </w:r>
                </w:p>
              </w:tc>
              <w:tc>
                <w:tcPr>
                  <w:tcW w:w="1470"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w:t>
                  </w:r>
                </w:p>
              </w:tc>
              <w:tc>
                <w:tcPr>
                  <w:tcW w:w="1216"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w:t>
                  </w:r>
                </w:p>
              </w:tc>
              <w:tc>
                <w:tcPr>
                  <w:tcW w:w="1148"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w:t>
                  </w:r>
                </w:p>
              </w:tc>
              <w:tc>
                <w:tcPr>
                  <w:tcW w:w="4133" w:type="dxa"/>
                  <w:tcBorders>
                    <w:top w:val="single" w:sz="4" w:space="0" w:color="auto"/>
                    <w:left w:val="single" w:sz="4" w:space="0" w:color="auto"/>
                    <w:bottom w:val="single" w:sz="4" w:space="0" w:color="auto"/>
                    <w:right w:val="single" w:sz="4" w:space="0" w:color="auto"/>
                  </w:tcBorders>
                </w:tcPr>
                <w:p w:rsidR="00EA231E" w:rsidRDefault="00EA231E">
                  <w:pPr>
                    <w:jc w:val="both"/>
                    <w:rPr>
                      <w:rFonts w:eastAsia="Calibri"/>
                    </w:rPr>
                  </w:pPr>
                </w:p>
              </w:tc>
            </w:tr>
            <w:tr w:rsidR="00EA231E">
              <w:tc>
                <w:tcPr>
                  <w:tcW w:w="1553"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Kitos lėšos (parama 1,2 % GM ir kt.)</w:t>
                  </w:r>
                </w:p>
              </w:tc>
              <w:tc>
                <w:tcPr>
                  <w:tcW w:w="1470"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highlight w:val="yellow"/>
                    </w:rPr>
                  </w:pPr>
                  <w:r>
                    <w:rPr>
                      <w:rFonts w:eastAsia="Calibri"/>
                    </w:rPr>
                    <w:t>4,3</w:t>
                  </w:r>
                </w:p>
              </w:tc>
              <w:tc>
                <w:tcPr>
                  <w:tcW w:w="1216"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highlight w:val="yellow"/>
                    </w:rPr>
                  </w:pPr>
                  <w:r>
                    <w:rPr>
                      <w:rFonts w:eastAsia="Calibri"/>
                    </w:rPr>
                    <w:t>0,22</w:t>
                  </w:r>
                </w:p>
              </w:tc>
              <w:tc>
                <w:tcPr>
                  <w:tcW w:w="1148"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5,0</w:t>
                  </w:r>
                </w:p>
              </w:tc>
              <w:tc>
                <w:tcPr>
                  <w:tcW w:w="4133" w:type="dxa"/>
                  <w:tcBorders>
                    <w:top w:val="single" w:sz="4" w:space="0" w:color="auto"/>
                    <w:left w:val="single" w:sz="4" w:space="0" w:color="auto"/>
                    <w:bottom w:val="single" w:sz="4" w:space="0" w:color="auto"/>
                    <w:right w:val="single" w:sz="4" w:space="0" w:color="auto"/>
                  </w:tcBorders>
                </w:tcPr>
                <w:p w:rsidR="00EA231E" w:rsidRDefault="00EA231E">
                  <w:pPr>
                    <w:jc w:val="both"/>
                    <w:rPr>
                      <w:rFonts w:eastAsia="Calibri"/>
                    </w:rPr>
                  </w:pPr>
                </w:p>
              </w:tc>
            </w:tr>
            <w:tr w:rsidR="00EA231E">
              <w:trPr>
                <w:trHeight w:val="430"/>
              </w:trPr>
              <w:tc>
                <w:tcPr>
                  <w:tcW w:w="1553"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Iš viso</w:t>
                  </w:r>
                </w:p>
              </w:tc>
              <w:tc>
                <w:tcPr>
                  <w:tcW w:w="1470"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828,0</w:t>
                  </w:r>
                </w:p>
              </w:tc>
              <w:tc>
                <w:tcPr>
                  <w:tcW w:w="1216"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802,11</w:t>
                  </w:r>
                </w:p>
              </w:tc>
              <w:tc>
                <w:tcPr>
                  <w:tcW w:w="1148"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96,87</w:t>
                  </w:r>
                </w:p>
              </w:tc>
              <w:tc>
                <w:tcPr>
                  <w:tcW w:w="4133" w:type="dxa"/>
                  <w:tcBorders>
                    <w:top w:val="single" w:sz="4" w:space="0" w:color="auto"/>
                    <w:left w:val="single" w:sz="4" w:space="0" w:color="auto"/>
                    <w:bottom w:val="single" w:sz="4" w:space="0" w:color="auto"/>
                    <w:right w:val="single" w:sz="4" w:space="0" w:color="auto"/>
                  </w:tcBorders>
                </w:tcPr>
                <w:p w:rsidR="00EA231E" w:rsidRDefault="00EA231E">
                  <w:pPr>
                    <w:jc w:val="both"/>
                    <w:rPr>
                      <w:rFonts w:eastAsia="Calibri"/>
                    </w:rPr>
                  </w:pPr>
                </w:p>
              </w:tc>
            </w:tr>
            <w:tr w:rsidR="00EA231E">
              <w:tc>
                <w:tcPr>
                  <w:tcW w:w="4239" w:type="dxa"/>
                  <w:gridSpan w:val="3"/>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 xml:space="preserve">Kreditinis įsiskolinimas (pagal visus finansavimo šaltinius) 2022 m. sausio 1 d. – 797,00 Eur </w:t>
                  </w:r>
                </w:p>
              </w:tc>
              <w:tc>
                <w:tcPr>
                  <w:tcW w:w="1148" w:type="dxa"/>
                  <w:tcBorders>
                    <w:top w:val="single" w:sz="4" w:space="0" w:color="auto"/>
                    <w:left w:val="single" w:sz="4" w:space="0" w:color="auto"/>
                    <w:bottom w:val="single" w:sz="4" w:space="0" w:color="auto"/>
                    <w:right w:val="single" w:sz="4" w:space="0" w:color="auto"/>
                  </w:tcBorders>
                </w:tcPr>
                <w:p w:rsidR="00EA231E" w:rsidRDefault="00EA231E">
                  <w:pPr>
                    <w:jc w:val="both"/>
                    <w:rPr>
                      <w:rFonts w:eastAsia="Calibri"/>
                    </w:rPr>
                  </w:pPr>
                </w:p>
              </w:tc>
              <w:tc>
                <w:tcPr>
                  <w:tcW w:w="4133" w:type="dxa"/>
                  <w:tcBorders>
                    <w:top w:val="single" w:sz="4" w:space="0" w:color="auto"/>
                    <w:left w:val="single" w:sz="4" w:space="0" w:color="auto"/>
                    <w:bottom w:val="single" w:sz="4" w:space="0" w:color="auto"/>
                    <w:right w:val="single" w:sz="4" w:space="0" w:color="auto"/>
                  </w:tcBorders>
                  <w:hideMark/>
                </w:tcPr>
                <w:p w:rsidR="00EA231E" w:rsidRDefault="00EA231E">
                  <w:pPr>
                    <w:jc w:val="both"/>
                    <w:rPr>
                      <w:rFonts w:eastAsia="Calibri"/>
                    </w:rPr>
                  </w:pPr>
                  <w:r>
                    <w:rPr>
                      <w:rFonts w:eastAsia="Calibri"/>
                    </w:rPr>
                    <w:t>Neapmokėtos maisto sąskaitos, nes kalendorinių metų pabaigoje nebevykdomi mokėjimai banke</w:t>
                  </w:r>
                </w:p>
              </w:tc>
            </w:tr>
          </w:tbl>
          <w:p w:rsidR="00EA231E" w:rsidRDefault="00EA231E" w:rsidP="00CA3D17">
            <w:pPr>
              <w:spacing w:before="100" w:beforeAutospacing="1"/>
              <w:ind w:firstLine="570"/>
              <w:jc w:val="both"/>
              <w:rPr>
                <w:rFonts w:eastAsia="Calibri"/>
                <w:u w:val="single"/>
              </w:rPr>
            </w:pPr>
            <w:r>
              <w:rPr>
                <w:rFonts w:eastAsia="Calibri"/>
              </w:rPr>
              <w:t xml:space="preserve">Įstaigoje 2021-04-07 atliktas planinis Valstybinės maisto ir veterinarijos tarnybos Klaipėdos departamento patikrinimas, kurio metu pažeidimų nenustatyta. 2021-09-10 atlikta vaikų žaidimų aikštelės kontrolė, kurios metu nustatytas defektas (vieno įrenginio atsitrenkimo zonos (dangos) dydis neatitinka reikalavimų) bus pašalintas iki kitos metinės kontrolės, nes žaidimo įrenginį naudoti galima. 2021 m. Įstaigoje liko neišspręstos tokios vidaus ir išorės faktorių sąlygotos problemos: reikalinga įrengti pamatų drenažą, nes dėl dažnai užliejamo rūsio, koridoriaus patalpose drėksta sienos ir atšoka apdailos paviršius, tai pat nutrupa rūsio patalpų sienų apdaila. Dėl pasenusios elektros instaliacijos kyla elektros tiekimo gedimai. Klaipėdos miesto savivaldybės administracijos direktoriui 2021-05-31 buvo teiktas raštas dėl drenažo sistemos tvarkymo darbų ir elektros instaliacijos atnaujinimo. Būtina šildymo sistemos renovacija, nes dėl senos šildymo sistemos vyrauja temperatūrų skirtumai skirtingose pastato dalyse. Atnaujinus šildymo sistemą, būtų galima taupiau naudoti šildymo išteklius. </w:t>
            </w:r>
          </w:p>
          <w:p w:rsidR="00EA231E" w:rsidRDefault="00EA231E" w:rsidP="00CA3D17">
            <w:pPr>
              <w:ind w:firstLine="591"/>
              <w:jc w:val="both"/>
              <w:rPr>
                <w:rFonts w:eastAsia="Calibri"/>
              </w:rPr>
            </w:pPr>
            <w:r>
              <w:rPr>
                <w:lang w:eastAsia="lt-LT"/>
              </w:rPr>
              <w:t xml:space="preserve">Planuodama 2022 m. veiklą, Įstaigos bendruomenė susitarė dėl veiklos prioriteto – </w:t>
            </w:r>
            <w:r>
              <w:rPr>
                <w:rFonts w:eastAsia="Calibri"/>
              </w:rPr>
              <w:t>kokybiško ugdymo paslaugos teikimas atsižvelgiant į kiekvieno vaiko poreikius bei gebėjimus kuriant sveiką, modernią, estetišką, fiziškai ir emociškai saugią įstaigos aplinką, atliepiančią bendruomenės poreikius, skatinančią lyderystę</w:t>
            </w:r>
            <w:r w:rsidR="005B5C9C">
              <w:rPr>
                <w:rFonts w:eastAsia="Calibri"/>
              </w:rPr>
              <w:t>.</w:t>
            </w:r>
          </w:p>
        </w:tc>
      </w:tr>
    </w:tbl>
    <w:p w:rsidR="00EA231E" w:rsidRDefault="00EA231E" w:rsidP="00253F1C">
      <w:pPr>
        <w:rPr>
          <w:b/>
          <w:bCs/>
          <w:color w:val="000000"/>
          <w:lang w:eastAsia="lt-LT"/>
        </w:rPr>
      </w:pPr>
    </w:p>
    <w:p w:rsidR="00EA231E" w:rsidRDefault="00EA231E" w:rsidP="00EA231E">
      <w:pPr>
        <w:ind w:firstLine="709"/>
        <w:jc w:val="both"/>
      </w:pPr>
    </w:p>
    <w:p w:rsidR="00EA231E" w:rsidRPr="00EA231E" w:rsidRDefault="00EA231E" w:rsidP="00EA231E">
      <w:pPr>
        <w:rPr>
          <w:color w:val="000000"/>
          <w:lang w:eastAsia="lt-LT"/>
        </w:rPr>
      </w:pPr>
      <w:r w:rsidRPr="00EA231E">
        <w:rPr>
          <w:color w:val="000000"/>
          <w:lang w:eastAsia="lt-LT"/>
        </w:rPr>
        <w:t>Direktorė</w:t>
      </w:r>
      <w:r>
        <w:rPr>
          <w:color w:val="000000"/>
          <w:lang w:eastAsia="lt-LT"/>
        </w:rPr>
        <w:tab/>
      </w:r>
      <w:r>
        <w:rPr>
          <w:color w:val="000000"/>
          <w:lang w:eastAsia="lt-LT"/>
        </w:rPr>
        <w:tab/>
      </w:r>
      <w:r>
        <w:rPr>
          <w:color w:val="000000"/>
          <w:lang w:eastAsia="lt-LT"/>
        </w:rPr>
        <w:tab/>
      </w:r>
      <w:r>
        <w:rPr>
          <w:color w:val="000000"/>
          <w:lang w:eastAsia="lt-LT"/>
        </w:rPr>
        <w:tab/>
      </w:r>
      <w:r>
        <w:rPr>
          <w:color w:val="000000"/>
          <w:lang w:eastAsia="lt-LT"/>
        </w:rPr>
        <w:tab/>
      </w:r>
      <w:r>
        <w:rPr>
          <w:color w:val="000000"/>
          <w:lang w:eastAsia="lt-LT"/>
        </w:rPr>
        <w:tab/>
        <w:t>Loreta Žiliuvienė</w:t>
      </w:r>
      <w:bookmarkStart w:id="2" w:name="_GoBack"/>
      <w:bookmarkEnd w:id="2"/>
    </w:p>
    <w:sectPr w:rsidR="00EA231E" w:rsidRPr="00EA231E"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22ACE">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1F71AD"/>
    <w:rsid w:val="00253F1C"/>
    <w:rsid w:val="0034183E"/>
    <w:rsid w:val="00422ACE"/>
    <w:rsid w:val="004476DD"/>
    <w:rsid w:val="00597EE8"/>
    <w:rsid w:val="005B434A"/>
    <w:rsid w:val="005B5C9C"/>
    <w:rsid w:val="005F495C"/>
    <w:rsid w:val="00832CC9"/>
    <w:rsid w:val="008354D5"/>
    <w:rsid w:val="008E6E82"/>
    <w:rsid w:val="00AF7D08"/>
    <w:rsid w:val="00B01EA1"/>
    <w:rsid w:val="00B750B6"/>
    <w:rsid w:val="00C57681"/>
    <w:rsid w:val="00CA3D17"/>
    <w:rsid w:val="00CA4D3B"/>
    <w:rsid w:val="00D42B72"/>
    <w:rsid w:val="00D57F27"/>
    <w:rsid w:val="00E33871"/>
    <w:rsid w:val="00E56A73"/>
    <w:rsid w:val="00EA231E"/>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E4DB11-48D1-4330-BE07-FE6223E6B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92292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6678</Words>
  <Characters>3808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4</cp:revision>
  <dcterms:created xsi:type="dcterms:W3CDTF">2022-02-24T06:06:00Z</dcterms:created>
  <dcterms:modified xsi:type="dcterms:W3CDTF">2022-03-01T13:05:00Z</dcterms:modified>
</cp:coreProperties>
</file>